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9C" w:rsidRDefault="0046139C"/>
    <w:p w:rsidR="00550600" w:rsidRDefault="00550600" w:rsidP="00550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č. </w:t>
      </w:r>
      <w:r w:rsidR="0084200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:rsidR="00550600" w:rsidRDefault="00550600" w:rsidP="0055060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0133CC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:rsidR="00550600" w:rsidRDefault="00550600" w:rsidP="005506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6"/>
          <w:szCs w:val="26"/>
        </w:rPr>
      </w:pPr>
      <w:r>
        <w:rPr>
          <w:rFonts w:ascii="Calibri" w:hAnsi="Calibri" w:cs="Calibri"/>
          <w:b/>
          <w:smallCaps/>
          <w:sz w:val="26"/>
          <w:szCs w:val="26"/>
        </w:rPr>
        <w:t xml:space="preserve">„MAS </w:t>
      </w:r>
      <w:r w:rsidR="00424268">
        <w:rPr>
          <w:rFonts w:ascii="Calibri" w:hAnsi="Calibri" w:cs="Calibri"/>
          <w:b/>
          <w:smallCaps/>
          <w:sz w:val="26"/>
          <w:szCs w:val="26"/>
        </w:rPr>
        <w:t>ČESKÝ SEVER</w:t>
      </w:r>
      <w:r>
        <w:rPr>
          <w:rFonts w:ascii="Calibri" w:hAnsi="Calibri" w:cs="Calibri"/>
          <w:b/>
          <w:smallCaps/>
          <w:sz w:val="26"/>
          <w:szCs w:val="26"/>
        </w:rPr>
        <w:t xml:space="preserve"> – IROP – </w:t>
      </w:r>
      <w:r w:rsidR="00A84A06">
        <w:rPr>
          <w:rFonts w:ascii="Calibri" w:hAnsi="Calibri" w:cs="Calibri"/>
          <w:b/>
          <w:smallCaps/>
          <w:sz w:val="26"/>
          <w:szCs w:val="26"/>
        </w:rPr>
        <w:t>OBNOVA KULTURNÍCH PAMÁTEK“</w:t>
      </w:r>
    </w:p>
    <w:p w:rsidR="00550600" w:rsidRPr="00A84A06" w:rsidRDefault="00550600" w:rsidP="005506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A84A06">
        <w:rPr>
          <w:rFonts w:ascii="Calibri" w:hAnsi="Calibri" w:cs="Calibri"/>
          <w:b/>
          <w:smallCaps/>
          <w:sz w:val="24"/>
          <w:szCs w:val="24"/>
        </w:rPr>
        <w:t>V</w:t>
      </w:r>
      <w:r w:rsidR="00A84A06" w:rsidRPr="00A84A06">
        <w:rPr>
          <w:rFonts w:ascii="Calibri" w:hAnsi="Calibri" w:cs="Calibri"/>
          <w:b/>
          <w:smallCaps/>
          <w:sz w:val="24"/>
          <w:szCs w:val="24"/>
        </w:rPr>
        <w:t>AZBA NA VÝZVU</w:t>
      </w:r>
      <w:r w:rsidRPr="00A84A06">
        <w:rPr>
          <w:rFonts w:ascii="Calibri" w:hAnsi="Calibri" w:cs="Calibri"/>
          <w:b/>
          <w:smallCaps/>
          <w:sz w:val="24"/>
          <w:szCs w:val="24"/>
        </w:rPr>
        <w:t xml:space="preserve"> ŘO IROP: 70. Výzva IROP – </w:t>
      </w:r>
      <w:r w:rsidR="00A84A06" w:rsidRPr="00A84A06">
        <w:rPr>
          <w:rFonts w:ascii="Calibri" w:hAnsi="Calibri" w:cs="Calibri"/>
          <w:b/>
          <w:smallCaps/>
          <w:sz w:val="24"/>
          <w:szCs w:val="24"/>
        </w:rPr>
        <w:t>KULTURA</w:t>
      </w:r>
      <w:r w:rsidRPr="00A84A06">
        <w:rPr>
          <w:rFonts w:ascii="Calibri" w:hAnsi="Calibri" w:cs="Calibri"/>
          <w:b/>
          <w:smallCaps/>
          <w:sz w:val="24"/>
          <w:szCs w:val="24"/>
        </w:rPr>
        <w:t xml:space="preserve"> – </w:t>
      </w:r>
      <w:r w:rsidR="00A84A06" w:rsidRPr="00A84A06">
        <w:rPr>
          <w:rFonts w:ascii="Calibri" w:hAnsi="Calibri" w:cs="Calibri"/>
          <w:b/>
          <w:smallCaps/>
          <w:sz w:val="24"/>
          <w:szCs w:val="24"/>
        </w:rPr>
        <w:t>PAMÁTKY A MUZEA</w:t>
      </w:r>
      <w:r w:rsidRPr="00A84A06">
        <w:rPr>
          <w:rFonts w:ascii="Calibri" w:hAnsi="Calibri" w:cs="Calibri"/>
          <w:b/>
          <w:smallCaps/>
          <w:sz w:val="24"/>
          <w:szCs w:val="24"/>
        </w:rPr>
        <w:t xml:space="preserve"> – SC 5.1</w:t>
      </w:r>
    </w:p>
    <w:p w:rsidR="00550600" w:rsidRDefault="00550600" w:rsidP="00550600">
      <w:pPr>
        <w:jc w:val="both"/>
        <w:rPr>
          <w:b/>
          <w:sz w:val="28"/>
          <w:szCs w:val="28"/>
        </w:rPr>
      </w:pPr>
    </w:p>
    <w:p w:rsidR="00550600" w:rsidRDefault="00550600" w:rsidP="005506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Informace:</w:t>
      </w:r>
    </w:p>
    <w:p w:rsidR="00550600" w:rsidRDefault="00550600" w:rsidP="00550600">
      <w:pPr>
        <w:jc w:val="both"/>
      </w:pPr>
      <w:r>
        <w:t>Žadatel musí vyplnit všechny požadované údaje.</w:t>
      </w:r>
    </w:p>
    <w:p w:rsidR="00550600" w:rsidRDefault="00550600" w:rsidP="00550600">
      <w:pPr>
        <w:jc w:val="both"/>
      </w:pPr>
      <w:r>
        <w:t xml:space="preserve">V rámci MAS bude nejprve ze strany kanceláře MAS </w:t>
      </w:r>
      <w:r w:rsidR="00336B14">
        <w:t>Český sever</w:t>
      </w:r>
      <w:r>
        <w:t xml:space="preserve"> provedena administrativní kontrola. Věcné hodnocení záměrů provádí Výběrová komise MAS </w:t>
      </w:r>
      <w:r w:rsidR="00336B14">
        <w:t>Český sever</w:t>
      </w:r>
      <w:r>
        <w:t xml:space="preserve"> jakožto výběrový orgán. </w:t>
      </w:r>
      <w:r w:rsidR="00336B14">
        <w:t>Představenstvo MAS Český sever</w:t>
      </w:r>
      <w:r>
        <w:t xml:space="preserve"> jakožto rozhodovací orgán vybírá záměry, kterým bude vydáno Vyjádření o souladu se SCLLD MAS </w:t>
      </w:r>
      <w:r w:rsidR="00336B14">
        <w:t>Český sever</w:t>
      </w:r>
      <w:r>
        <w:t>. Toto vyjádření je povinnou součástí žádosti o podporu, kterou nositelé vybraných záměrů následně zpracují v MS21+.</w:t>
      </w:r>
    </w:p>
    <w:p w:rsidR="00336B14" w:rsidRDefault="00550600" w:rsidP="00550600">
      <w:pPr>
        <w:jc w:val="both"/>
      </w:pPr>
      <w:r>
        <w:t>Postup hodnocení záměrů je uveden v</w:t>
      </w:r>
      <w:r w:rsidR="00336B14">
        <w:t> interních postupech MAS Český sever „Interní postupy pro implementaci programového rámce IROP a OP TAK“, součástí interních postupů je i pojednání o stře</w:t>
      </w:r>
      <w:r w:rsidR="006C53E8">
        <w:t>t</w:t>
      </w:r>
      <w:r w:rsidR="00336B14">
        <w:t>u zájmů</w:t>
      </w:r>
      <w:r>
        <w:t xml:space="preserve">. </w:t>
      </w:r>
      <w:r w:rsidR="00336B14">
        <w:t xml:space="preserve">Interní postupy jsou zveřejněny na: </w:t>
      </w:r>
      <w:hyperlink r:id="rId7" w:history="1">
        <w:r w:rsidR="00336B14" w:rsidRPr="00E00B24">
          <w:rPr>
            <w:rStyle w:val="Hypertextovodkaz"/>
          </w:rPr>
          <w:t>https://www.masceskysever.cz/wp-content/uploads/2023/09/interni-postupy_mas-cesky-sever_op-tak_irop.docx.pdf</w:t>
        </w:r>
      </w:hyperlink>
    </w:p>
    <w:p w:rsidR="00550600" w:rsidRDefault="00550600" w:rsidP="00550600">
      <w:pPr>
        <w:jc w:val="both"/>
      </w:pPr>
      <w:r>
        <w:t xml:space="preserve">Po výběru projektových záměrů ze strany MAS následuje podání žádosti o podporu do výzvy č. 70 IROP, a to prostřednictvím MS21+. Hodnocení žádostí o podporu je v kompetenci Centra pro regionální rozvoj (CRR). </w:t>
      </w:r>
    </w:p>
    <w:p w:rsidR="00550600" w:rsidRDefault="00550600" w:rsidP="00550600">
      <w:pPr>
        <w:jc w:val="both"/>
      </w:pPr>
      <w:r>
        <w:t>Věcná způsobilost je definována v Obecných a Specifických pravidlech pro žadatele a příjemce výzvy č. 70 IROP (vždy v aktuálním znění).</w:t>
      </w:r>
    </w:p>
    <w:p w:rsidR="00550600" w:rsidRDefault="00550600" w:rsidP="00550600">
      <w:pPr>
        <w:jc w:val="both"/>
      </w:pPr>
      <w:r>
        <w:t xml:space="preserve">Obecná a Specifická pravidla pro žadatele pro výzvu ŘO IROP jsou uvedena zde: </w:t>
      </w:r>
      <w:hyperlink r:id="rId8" w:history="1">
        <w:r>
          <w:rPr>
            <w:rStyle w:val="Hypertextovodkaz"/>
          </w:rPr>
          <w:t>https://irop.mmr.cz/cs/vyzvy-2021-2027/vyzvy/70vyzvairop</w:t>
        </w:r>
      </w:hyperlink>
    </w:p>
    <w:p w:rsidR="00550600" w:rsidRDefault="00550600" w:rsidP="00550600">
      <w:pPr>
        <w:jc w:val="both"/>
        <w:rPr>
          <w:rStyle w:val="Hypertextovodkaz"/>
          <w:rFonts w:cstheme="minorHAnsi"/>
        </w:rPr>
      </w:pPr>
    </w:p>
    <w:p w:rsidR="00A84A06" w:rsidRPr="00282A70" w:rsidRDefault="00A84A06" w:rsidP="00A8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nejpozději v den ukončení příjmu projektových záměrů datovou schránkou MAS Český sever, z. s., ID datové schránky: </w:t>
      </w:r>
      <w:r w:rsidRPr="001E6479">
        <w:rPr>
          <w:b/>
          <w:color w:val="000000"/>
        </w:rPr>
        <w:t>qm8dntj</w:t>
      </w:r>
      <w:r>
        <w:rPr>
          <w:b/>
          <w:highlight w:val="white"/>
        </w:rPr>
        <w:t>.</w:t>
      </w:r>
    </w:p>
    <w:p w:rsidR="00550600" w:rsidRPr="00A84A06" w:rsidRDefault="00A84A06" w:rsidP="00A8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rPr>
          <w:b/>
          <w:bCs/>
        </w:rPr>
        <w:t>Před odevzdáním smažte tuto první stranu s informacemi</w:t>
      </w:r>
      <w:r w:rsidR="00550600">
        <w:rPr>
          <w:b/>
          <w:bCs/>
        </w:rPr>
        <w:t xml:space="preserve"> </w:t>
      </w:r>
    </w:p>
    <w:p w:rsidR="00550600" w:rsidRDefault="00550600" w:rsidP="00550600"/>
    <w:p w:rsidR="00550600" w:rsidRDefault="00550600" w:rsidP="00550600">
      <w:r>
        <w:br w:type="page"/>
      </w:r>
    </w:p>
    <w:p w:rsidR="00550600" w:rsidRDefault="00550600" w:rsidP="005506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550600" w:rsidTr="00550600">
        <w:trPr>
          <w:trHeight w:val="270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bookmarkStart w:id="0" w:name="RANGE!A1:G36"/>
            <w:bookmarkEnd w:id="0"/>
            <w:r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330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336B14">
              <w:rPr>
                <w:rFonts w:cs="Arial"/>
                <w:b/>
                <w:sz w:val="20"/>
                <w:szCs w:val="20"/>
              </w:rPr>
              <w:t xml:space="preserve">Český sever, </w:t>
            </w:r>
            <w:proofErr w:type="spellStart"/>
            <w:r w:rsidR="00336B14">
              <w:rPr>
                <w:rFonts w:cs="Arial"/>
                <w:b/>
                <w:sz w:val="20"/>
                <w:szCs w:val="20"/>
              </w:rPr>
              <w:t>z.s</w:t>
            </w:r>
            <w:proofErr w:type="spellEnd"/>
            <w:r w:rsidR="00336B14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550600" w:rsidTr="00550600">
        <w:trPr>
          <w:trHeight w:val="33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5.1.3 Obnova kulturních památek</w:t>
            </w:r>
          </w:p>
        </w:tc>
      </w:tr>
      <w:tr w:rsidR="00550600" w:rsidTr="00550600">
        <w:trPr>
          <w:trHeight w:val="2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70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Výzva IROP – Kultura – památky a muzea – SC 5.1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 Výzva č. </w:t>
            </w:r>
            <w:r w:rsidR="003D7745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: MAS </w:t>
            </w:r>
            <w:r w:rsidR="00336B14">
              <w:rPr>
                <w:rFonts w:cs="Arial"/>
                <w:bCs/>
                <w:sz w:val="20"/>
                <w:szCs w:val="20"/>
              </w:rPr>
              <w:t>Český sever</w:t>
            </w:r>
            <w:r>
              <w:rPr>
                <w:rFonts w:cs="Arial"/>
                <w:bCs/>
                <w:sz w:val="20"/>
                <w:szCs w:val="20"/>
              </w:rPr>
              <w:t xml:space="preserve"> – IROP – Obnova kulturních památek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84A06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</w:t>
            </w:r>
            <w:r>
              <w:rPr>
                <w:color w:val="FF0000"/>
              </w:rPr>
              <w:t>)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sídlo žadatele </w:t>
            </w:r>
            <w:r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>
              <w:rPr>
                <w:rFonts w:cs="Arial"/>
                <w:sz w:val="20"/>
                <w:szCs w:val="20"/>
              </w:rPr>
              <w:t>psč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57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statutární zástupce žadatele</w:t>
            </w:r>
            <w:r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52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550600" w:rsidTr="0055060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Popis projektu a podporované aktivity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 Váš projekt a podporované aktivity. Aktivity musí být v souladu se 70. výzvou IROP – Kultura – památky a muzea – SC 5.1 (CLLD) a specifickými pravidly této výzvy. V této výzvě MAS je podporována jen aktivita Revitalizace kulturních památek.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Cíle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Zdůvodnění potřebnosti projektu a popis stávajícího stavu: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 w:rsidP="00550600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zdůvodněte potřebnost projektu</w:t>
            </w:r>
          </w:p>
          <w:p w:rsidR="00550600" w:rsidRDefault="00550600" w:rsidP="00550600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stávající stav</w:t>
            </w: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Místo realizace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color w:val="FF0000"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Počet obyvatel obce, kde je projekt realizován (k 1. 1. 202</w:t>
            </w:r>
            <w:r w:rsidR="0059272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obyvatel.</w:t>
            </w:r>
          </w:p>
          <w:p w:rsidR="00550600" w:rsidRDefault="00550600">
            <w:pPr>
              <w:rPr>
                <w:color w:val="FF0000"/>
                <w:sz w:val="20"/>
                <w:szCs w:val="20"/>
              </w:rPr>
            </w:pP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Připravenost projektu: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:rsidR="00550600" w:rsidRDefault="00550600">
            <w:pPr>
              <w:rPr>
                <w:color w:val="FF0000"/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</w:tc>
      </w:tr>
      <w:tr w:rsidR="00550600" w:rsidTr="00550600"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00" w:rsidRDefault="00550600">
            <w:pPr>
              <w:rPr>
                <w:color w:val="FF0000"/>
              </w:rPr>
            </w:pPr>
            <w:r>
              <w:rPr>
                <w:b/>
              </w:rPr>
              <w:t>Předpokládané datum podání žádosti o podporu do výzvy ŘO: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336B14">
              <w:rPr>
                <w:color w:val="FF0000"/>
                <w:sz w:val="20"/>
                <w:szCs w:val="20"/>
              </w:rPr>
              <w:t>Český sever</w:t>
            </w:r>
            <w:r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550600" w:rsidTr="00550600"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550600" w:rsidTr="00550600"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Vazba projektu na projekty žadatele financované z dalších dotačních zdrojů:</w:t>
            </w:r>
          </w:p>
        </w:tc>
      </w:tr>
      <w:tr w:rsidR="00550600" w:rsidTr="00550600">
        <w:tc>
          <w:tcPr>
            <w:tcW w:w="90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600" w:rsidRDefault="0055060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550600" w:rsidTr="00550600"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50600" w:rsidTr="00550600"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600" w:rsidRDefault="00550600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Uveďte Celkové způsobilé výdaje projektu (maximum je definováno výzvou)</w:t>
            </w:r>
          </w:p>
          <w:p w:rsidR="00550600" w:rsidRDefault="00550600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50600" w:rsidTr="00550600">
        <w:trPr>
          <w:trHeight w:val="54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Podpora – dotace (CZK)</w:t>
            </w: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842006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 xml:space="preserve">Uveďte výši dotace </w:t>
            </w:r>
            <w:r w:rsidR="00550600">
              <w:rPr>
                <w:rFonts w:cs="Arial"/>
                <w:color w:val="FF0000"/>
                <w:szCs w:val="20"/>
              </w:rPr>
              <w:t>z celkových způsobilých výdajů projektu (maximum je definováno výzvou)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50600" w:rsidTr="0055060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0600" w:rsidRDefault="00550600">
            <w:pPr>
              <w:rPr>
                <w:b/>
              </w:rPr>
            </w:pPr>
            <w:r>
              <w:rPr>
                <w:b/>
              </w:rPr>
              <w:t>Soulad projektu se strategií obce či mikroregionu:</w:t>
            </w:r>
          </w:p>
        </w:tc>
      </w:tr>
      <w:tr w:rsidR="00550600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0600" w:rsidRDefault="0055060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Uveďte </w:t>
            </w:r>
            <w:r>
              <w:rPr>
                <w:color w:val="FF0000"/>
                <w:sz w:val="20"/>
                <w:szCs w:val="20"/>
                <w:u w:val="single"/>
              </w:rPr>
              <w:t>odkaz na webovou stránku</w:t>
            </w:r>
            <w:r>
              <w:rPr>
                <w:color w:val="FF0000"/>
                <w:sz w:val="20"/>
                <w:szCs w:val="20"/>
              </w:rPr>
              <w:t xml:space="preserve"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Podrobnosti o hodnocení souladu projektu se strategií obce či mikroregionu jsou uvedeny v příloze č. </w:t>
            </w:r>
            <w:r w:rsidR="00842006">
              <w:rPr>
                <w:color w:val="FF0000"/>
                <w:sz w:val="20"/>
                <w:szCs w:val="20"/>
              </w:rPr>
              <w:t>4 V</w:t>
            </w:r>
            <w:r>
              <w:rPr>
                <w:color w:val="FF0000"/>
                <w:sz w:val="20"/>
                <w:szCs w:val="20"/>
              </w:rPr>
              <w:t>ýzvy MAS.</w:t>
            </w: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sz w:val="20"/>
                <w:szCs w:val="20"/>
              </w:rPr>
            </w:pPr>
          </w:p>
          <w:p w:rsidR="00550600" w:rsidRDefault="00550600">
            <w:pPr>
              <w:rPr>
                <w:b/>
                <w:sz w:val="20"/>
                <w:szCs w:val="20"/>
              </w:rPr>
            </w:pP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2006" w:rsidRPr="00A96B57" w:rsidRDefault="00842006" w:rsidP="00842006">
            <w:pPr>
              <w:rPr>
                <w:b/>
              </w:rPr>
            </w:pPr>
            <w:r>
              <w:rPr>
                <w:b/>
              </w:rPr>
              <w:lastRenderedPageBreak/>
              <w:t>Byl vydán souhlas podepsaný starostou obce s realizací projektového záměru na území obce:</w:t>
            </w: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  <w:r w:rsidRPr="00174A6F">
              <w:rPr>
                <w:color w:val="FF0000"/>
                <w:sz w:val="20"/>
                <w:szCs w:val="20"/>
              </w:rPr>
              <w:t>Uv</w:t>
            </w:r>
            <w:r>
              <w:rPr>
                <w:color w:val="FF0000"/>
                <w:sz w:val="20"/>
                <w:szCs w:val="20"/>
              </w:rPr>
              <w:t>eďte</w:t>
            </w:r>
            <w:r w:rsidRPr="00174A6F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zda byl vydán souhlas podepsaný starostou obce s realizací projektového záměru na území dané obce. Souhlas doložte jako přílohu tohoto projektového záměru.</w:t>
            </w:r>
          </w:p>
          <w:p w:rsidR="00A24012" w:rsidRDefault="00A24012" w:rsidP="00A240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Kritéria pro věcné hodnocení jsou přílohou č. 4 Výzvy.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Default="00842006" w:rsidP="00842006">
            <w:pPr>
              <w:rPr>
                <w:b/>
              </w:rPr>
            </w:pPr>
          </w:p>
          <w:p w:rsidR="00842006" w:rsidRDefault="00842006" w:rsidP="00842006">
            <w:pPr>
              <w:rPr>
                <w:b/>
              </w:rPr>
            </w:pPr>
          </w:p>
          <w:p w:rsidR="00842006" w:rsidRDefault="00842006" w:rsidP="00842006">
            <w:pPr>
              <w:rPr>
                <w:b/>
              </w:rPr>
            </w:pPr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006" w:rsidRPr="00CC4800" w:rsidRDefault="00842006" w:rsidP="00A84A06">
            <w:pPr>
              <w:rPr>
                <w:b/>
                <w:color w:val="FF0000"/>
              </w:rPr>
            </w:pPr>
            <w:r w:rsidRPr="00CC4800">
              <w:rPr>
                <w:b/>
              </w:rPr>
              <w:t>Projektový záměr je uveden na aktuálním Seznamu investičních záměrů Programového rámce IROP MAS Český sever, z.</w:t>
            </w:r>
            <w:r w:rsidR="00A84A06">
              <w:rPr>
                <w:b/>
              </w:rPr>
              <w:t xml:space="preserve"> </w:t>
            </w:r>
            <w:proofErr w:type="gramStart"/>
            <w:r w:rsidRPr="00CC4800">
              <w:rPr>
                <w:b/>
              </w:rPr>
              <w:t>s</w:t>
            </w:r>
            <w:r w:rsidR="00A84A06">
              <w:rPr>
                <w:b/>
              </w:rPr>
              <w:t>.,:</w:t>
            </w:r>
            <w:proofErr w:type="gramEnd"/>
          </w:p>
        </w:tc>
      </w:tr>
      <w:tr w:rsidR="00842006" w:rsidTr="00550600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je projektový záměr uvedený v Seznamu investičních záměrů Programového rámce IROP MAS Český sever, z.</w:t>
            </w:r>
            <w:r w:rsidR="00A84A06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s.</w:t>
            </w:r>
            <w:r w:rsidR="00A84A06"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Aktuální Seznam investičních záměrů Programového rámce IROP </w:t>
            </w:r>
            <w:proofErr w:type="gramStart"/>
            <w:r>
              <w:rPr>
                <w:color w:val="FF0000"/>
                <w:sz w:val="20"/>
                <w:szCs w:val="20"/>
              </w:rPr>
              <w:t>MAS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Český sever, z.</w:t>
            </w:r>
            <w:r w:rsidR="00A84A0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s. je přílohou č. 3 Výzvy.</w:t>
            </w:r>
          </w:p>
          <w:p w:rsidR="00A24012" w:rsidRDefault="00A24012" w:rsidP="00A240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Kritéria pro věcné hodnocení jsou přílohou č. 4 Výzvy.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Default="00842006" w:rsidP="00842006">
            <w:pPr>
              <w:rPr>
                <w:color w:val="FF0000"/>
                <w:sz w:val="20"/>
                <w:szCs w:val="20"/>
              </w:rPr>
            </w:pPr>
          </w:p>
          <w:p w:rsidR="00842006" w:rsidRPr="00174A6F" w:rsidRDefault="00842006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2006" w:rsidRPr="00791FAA" w:rsidRDefault="0056098B" w:rsidP="00842006">
            <w:pPr>
              <w:rPr>
                <w:b/>
                <w:color w:val="FF0000"/>
                <w:sz w:val="20"/>
                <w:szCs w:val="20"/>
              </w:rPr>
            </w:pPr>
            <w:r w:rsidRPr="00791FAA">
              <w:rPr>
                <w:b/>
                <w:sz w:val="20"/>
                <w:szCs w:val="20"/>
              </w:rPr>
              <w:t>Památka je zapsána v Ústředním seznamu kulturních památek ČR pouze jako kulturní památka:</w:t>
            </w: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2006" w:rsidRDefault="0056098B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je památka zapsána v Ústředním seznamu kulturních památek ČR pouze jako kulturní památka.</w:t>
            </w: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  <w:p w:rsidR="0056098B" w:rsidRDefault="0056098B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A24012" w:rsidRDefault="0056098B" w:rsidP="00842006">
            <w:pPr>
              <w:rPr>
                <w:b/>
                <w:color w:val="FF0000"/>
                <w:sz w:val="20"/>
                <w:szCs w:val="20"/>
              </w:rPr>
            </w:pPr>
            <w:r w:rsidRPr="00A24012">
              <w:rPr>
                <w:b/>
                <w:sz w:val="20"/>
                <w:szCs w:val="20"/>
              </w:rPr>
              <w:t>V projektu je uvedena vazba na Státní kul</w:t>
            </w:r>
            <w:r w:rsidR="00A24012" w:rsidRPr="00A24012">
              <w:rPr>
                <w:b/>
                <w:sz w:val="20"/>
                <w:szCs w:val="20"/>
              </w:rPr>
              <w:t>turní politiku 2021-2025+:</w:t>
            </w: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42006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Popište konkrétní vazbu projektového záměru na Státní kulturní politiku 2021-2025+.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42006" w:rsidRPr="00A24012" w:rsidRDefault="00A24012" w:rsidP="00842006">
            <w:pPr>
              <w:rPr>
                <w:b/>
                <w:color w:val="FF0000"/>
                <w:sz w:val="20"/>
                <w:szCs w:val="20"/>
              </w:rPr>
            </w:pPr>
            <w:r w:rsidRPr="00A24012">
              <w:rPr>
                <w:b/>
                <w:sz w:val="20"/>
                <w:szCs w:val="20"/>
              </w:rPr>
              <w:t>Projekt je zaměřen na některou z těchto oblastí:</w:t>
            </w: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42006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revitalizace památek;</w:t>
            </w:r>
          </w:p>
          <w:p w:rsidR="00A24012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expozice;</w:t>
            </w:r>
          </w:p>
          <w:p w:rsidR="00A24012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depozitáře;</w:t>
            </w:r>
          </w:p>
          <w:p w:rsidR="00A24012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technické a technologické zázemí;</w:t>
            </w:r>
          </w:p>
          <w:p w:rsidR="00A24012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návštěvnická a edukační centra;</w:t>
            </w:r>
          </w:p>
          <w:p w:rsidR="00A24012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restaurování;</w:t>
            </w:r>
          </w:p>
          <w:p w:rsidR="00A24012" w:rsidRDefault="00A24012" w:rsidP="00A24012">
            <w:pPr>
              <w:pStyle w:val="Odstavecseseznamem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evidenci a dokumentaci mobilních fondů</w:t>
            </w:r>
          </w:p>
          <w:p w:rsidR="00A24012" w:rsidRDefault="00A24012" w:rsidP="00A2401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zda je projekt zaměřen alespoň na jednu z uvedených oblastí.</w:t>
            </w:r>
          </w:p>
          <w:p w:rsidR="00A24012" w:rsidRPr="00A24012" w:rsidRDefault="00A24012" w:rsidP="00A24012">
            <w:pPr>
              <w:rPr>
                <w:color w:val="FF0000"/>
                <w:sz w:val="20"/>
                <w:szCs w:val="20"/>
              </w:rPr>
            </w:pP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A24012" w:rsidRDefault="00A24012" w:rsidP="00842006">
            <w:pPr>
              <w:rPr>
                <w:b/>
                <w:color w:val="FF0000"/>
                <w:sz w:val="20"/>
                <w:szCs w:val="20"/>
              </w:rPr>
            </w:pPr>
            <w:r w:rsidRPr="00A24012">
              <w:rPr>
                <w:b/>
                <w:sz w:val="20"/>
                <w:szCs w:val="20"/>
              </w:rPr>
              <w:t>Památka bude zpřístupněna veřejnosti:</w:t>
            </w:r>
          </w:p>
        </w:tc>
      </w:tr>
      <w:tr w:rsidR="00842006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42006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Je-li relevantní popište, zda a jak bude památka zpřístupněna veřejnosti.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Kritéria pro věcné hodnocení jsou přílohou č. 4 Výzvy.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NERELEVANTNÍ: Projekt je zaměřen pouze na depozitář nebo na restaurátorské pracoviště.</w:t>
            </w: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A24012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7061EA" w:rsidRDefault="00A24012" w:rsidP="00842006">
            <w:pPr>
              <w:rPr>
                <w:b/>
                <w:color w:val="FF0000"/>
                <w:sz w:val="20"/>
                <w:szCs w:val="20"/>
              </w:rPr>
            </w:pPr>
            <w:r w:rsidRPr="007061EA">
              <w:rPr>
                <w:b/>
                <w:sz w:val="20"/>
                <w:szCs w:val="20"/>
              </w:rPr>
              <w:t>Projekt není zaměřený na podporu komerčních zařízení definovaných Výzvou č. 70 IROP:</w:t>
            </w:r>
          </w:p>
        </w:tc>
      </w:tr>
      <w:tr w:rsidR="00A24012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Default="00A24012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Uveďte, že projekt není zaměřený na podporu komerčních zařízení definovaných</w:t>
            </w:r>
            <w:r w:rsidR="007061EA">
              <w:rPr>
                <w:color w:val="FF0000"/>
                <w:sz w:val="20"/>
                <w:szCs w:val="20"/>
              </w:rPr>
              <w:t xml:space="preserve"> dle podmínek</w:t>
            </w:r>
            <w:r>
              <w:rPr>
                <w:color w:val="FF0000"/>
                <w:sz w:val="20"/>
                <w:szCs w:val="20"/>
              </w:rPr>
              <w:t xml:space="preserve"> Výzv</w:t>
            </w:r>
            <w:r w:rsidR="007061EA">
              <w:rPr>
                <w:color w:val="FF0000"/>
                <w:sz w:val="20"/>
                <w:szCs w:val="20"/>
              </w:rPr>
              <w:t>y</w:t>
            </w:r>
            <w:r>
              <w:rPr>
                <w:color w:val="FF0000"/>
                <w:sz w:val="20"/>
                <w:szCs w:val="20"/>
              </w:rPr>
              <w:t xml:space="preserve"> č. 70 IROP</w:t>
            </w:r>
            <w:r w:rsidR="007061EA">
              <w:rPr>
                <w:color w:val="FF0000"/>
                <w:sz w:val="20"/>
                <w:szCs w:val="20"/>
              </w:rPr>
              <w:t xml:space="preserve"> – dokumentace výzvy zde: </w:t>
            </w:r>
            <w:hyperlink r:id="rId9" w:history="1">
              <w:r w:rsidR="007061EA" w:rsidRPr="00BE0620">
                <w:rPr>
                  <w:rStyle w:val="Hypertextovodkaz"/>
                  <w:sz w:val="20"/>
                  <w:szCs w:val="20"/>
                </w:rPr>
                <w:t>https://irop.gov.cz/cs/vyzvy-2021-2027/vyzvy/70vyzvairop</w:t>
              </w:r>
            </w:hyperlink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</w:tc>
      </w:tr>
      <w:tr w:rsidR="00A24012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Pr="007061EA" w:rsidRDefault="007061EA" w:rsidP="00842006">
            <w:pPr>
              <w:rPr>
                <w:b/>
                <w:color w:val="FF0000"/>
                <w:sz w:val="20"/>
                <w:szCs w:val="20"/>
              </w:rPr>
            </w:pPr>
            <w:r w:rsidRPr="007061EA">
              <w:rPr>
                <w:b/>
                <w:sz w:val="20"/>
                <w:szCs w:val="20"/>
              </w:rPr>
              <w:t>Výstupy projektu jsou bezbariérově přístupné:</w:t>
            </w:r>
          </w:p>
        </w:tc>
      </w:tr>
      <w:tr w:rsidR="00A24012" w:rsidTr="00620AF4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A24012" w:rsidRDefault="007061EA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Je-li relevantní uveďte, zda budou výstupy projektu bezbariérově přístupné.</w:t>
            </w: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NERELEVANTNÍ: Památka neumožňuje technicky nebo z důvodu památkové ochrany bezbariérové zpřístupnění výstupů projektu.</w:t>
            </w: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  <w:p w:rsidR="007061EA" w:rsidRDefault="007061EA" w:rsidP="0084200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0E1B77" w:rsidRDefault="00620AF4" w:rsidP="000E1B77">
      <w:pPr>
        <w:jc w:val="both"/>
        <w:rPr>
          <w:i/>
        </w:rPr>
      </w:pPr>
      <w:r>
        <w:rPr>
          <w:b/>
        </w:rPr>
        <w:t xml:space="preserve">Poznámka: </w:t>
      </w:r>
      <w:r w:rsidR="000E1B77">
        <w:rPr>
          <w:i/>
        </w:rPr>
        <w:t xml:space="preserve">Pro pole podbarvená šedou barvou platí, že se jedná o specifická kritéria přijatelnosti pro SC 5.1 IROP. Žadatel povinně vybere, vyplní a doloží pouze ty body, které jsou z hlediska realizace projektového záměru relevantní. Tato kritéria budou následně hodnocena i ze strany CRR. Ostatní pole (nepodbarvená) jsou </w:t>
      </w:r>
      <w:bookmarkStart w:id="1" w:name="_GoBack"/>
      <w:bookmarkEnd w:id="1"/>
      <w:r w:rsidR="000E1B77">
        <w:rPr>
          <w:i/>
        </w:rPr>
        <w:t>povinná k vyplnění.</w:t>
      </w:r>
    </w:p>
    <w:p w:rsidR="00550600" w:rsidRDefault="00550600" w:rsidP="000E1B77">
      <w:pPr>
        <w:jc w:val="both"/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550600" w:rsidTr="00550600">
        <w:trPr>
          <w:trHeight w:val="885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50600" w:rsidRDefault="00550600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Cílová hodnota indikátoru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907 030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nově zpřístupněných a zefektivněných podsbírek a fondů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Podsbírky/</w:t>
            </w:r>
          </w:p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fondy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908 021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revitalizovaných památkových objektů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návštěvníků podpořených lokalit v oblasti cestovního ruchu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Návštěvníci/</w:t>
            </w:r>
          </w:p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rok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70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550600" w:rsidRDefault="00550600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50600" w:rsidTr="00550600">
        <w:trPr>
          <w:trHeight w:val="270"/>
          <w:jc w:val="center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Lze přidat nebo ubrat řádky</w:t>
            </w:r>
          </w:p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:rsidR="00550600" w:rsidRDefault="00550600" w:rsidP="00550600">
      <w:pPr>
        <w:rPr>
          <w:b/>
        </w:rPr>
      </w:pPr>
    </w:p>
    <w:p w:rsidR="00550600" w:rsidRDefault="00550600" w:rsidP="00550600">
      <w:pPr>
        <w:rPr>
          <w:b/>
        </w:rPr>
      </w:pPr>
      <w:r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550600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t>Příloha č. 1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rPr>
                <w:color w:val="FF0000"/>
              </w:rPr>
              <w:t>Doplňte plnou moc, je-li relevantní.</w:t>
            </w:r>
          </w:p>
        </w:tc>
      </w:tr>
      <w:tr w:rsidR="00550600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t>Příloha č. 2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842006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550600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t>Příloha č. 3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0600" w:rsidRDefault="00550600">
            <w:r>
              <w:rPr>
                <w:color w:val="FF0000"/>
              </w:rPr>
              <w:t>Doplňte další přílohy, jsou-li relevantní.</w:t>
            </w:r>
          </w:p>
        </w:tc>
      </w:tr>
      <w:tr w:rsidR="00842006" w:rsidTr="00550600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006" w:rsidRDefault="00842006">
            <w:r>
              <w:t>Příloha č. 4</w:t>
            </w:r>
          </w:p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006" w:rsidRDefault="00842006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:rsidR="00550600" w:rsidRDefault="00550600" w:rsidP="00550600"/>
    <w:p w:rsidR="00550600" w:rsidRDefault="00550600" w:rsidP="00550600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550600" w:rsidTr="00550600">
        <w:trPr>
          <w:trHeight w:val="255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550600" w:rsidTr="00550600">
        <w:trPr>
          <w:trHeight w:val="255"/>
          <w:jc w:val="center"/>
        </w:trPr>
        <w:tc>
          <w:tcPr>
            <w:tcW w:w="23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0600" w:rsidRDefault="00550600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:rsidR="00B83123" w:rsidRDefault="00B83123" w:rsidP="00550600">
      <w:pPr>
        <w:jc w:val="center"/>
      </w:pPr>
    </w:p>
    <w:sectPr w:rsidR="00B831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81" w:rsidRDefault="00211881" w:rsidP="00B83123">
      <w:pPr>
        <w:spacing w:after="0" w:line="240" w:lineRule="auto"/>
      </w:pPr>
      <w:r>
        <w:separator/>
      </w:r>
    </w:p>
  </w:endnote>
  <w:endnote w:type="continuationSeparator" w:id="0">
    <w:p w:rsidR="00211881" w:rsidRDefault="00211881" w:rsidP="00B8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23" w:rsidRDefault="00B83123" w:rsidP="00B83123">
    <w:pPr>
      <w:pStyle w:val="Zpat"/>
      <w:jc w:val="center"/>
    </w:pPr>
    <w:r>
      <w:rPr>
        <w:noProof/>
        <w:lang w:eastAsia="cs-CZ"/>
      </w:rPr>
      <w:drawing>
        <wp:inline distT="0" distB="0" distL="0" distR="0" wp14:anchorId="6D7A6658" wp14:editId="0BB53436">
          <wp:extent cx="961200" cy="518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 ČS 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81" w:rsidRDefault="00211881" w:rsidP="00B83123">
      <w:pPr>
        <w:spacing w:after="0" w:line="240" w:lineRule="auto"/>
      </w:pPr>
      <w:r>
        <w:separator/>
      </w:r>
    </w:p>
  </w:footnote>
  <w:footnote w:type="continuationSeparator" w:id="0">
    <w:p w:rsidR="00211881" w:rsidRDefault="00211881" w:rsidP="00B8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23" w:rsidRDefault="00B83123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7700AFA1" wp14:editId="705E998A">
          <wp:simplePos x="0" y="0"/>
          <wp:positionH relativeFrom="margin">
            <wp:align>center</wp:align>
          </wp:positionH>
          <wp:positionV relativeFrom="topMargin">
            <wp:posOffset>182245</wp:posOffset>
          </wp:positionV>
          <wp:extent cx="5098855" cy="574754"/>
          <wp:effectExtent l="0" t="0" r="6985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8855" cy="57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281"/>
    <w:multiLevelType w:val="hybridMultilevel"/>
    <w:tmpl w:val="871CE1B8"/>
    <w:lvl w:ilvl="0" w:tplc="5464F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4010"/>
    <w:multiLevelType w:val="hybridMultilevel"/>
    <w:tmpl w:val="C1F08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23"/>
    <w:rsid w:val="000133CC"/>
    <w:rsid w:val="000E1B77"/>
    <w:rsid w:val="001B28D6"/>
    <w:rsid w:val="00211881"/>
    <w:rsid w:val="002F7F50"/>
    <w:rsid w:val="00326DE2"/>
    <w:rsid w:val="00336200"/>
    <w:rsid w:val="00336B14"/>
    <w:rsid w:val="003D7745"/>
    <w:rsid w:val="00424268"/>
    <w:rsid w:val="004312B4"/>
    <w:rsid w:val="0046139C"/>
    <w:rsid w:val="00473B52"/>
    <w:rsid w:val="005164AF"/>
    <w:rsid w:val="00550600"/>
    <w:rsid w:val="0056098B"/>
    <w:rsid w:val="00592728"/>
    <w:rsid w:val="00620AF4"/>
    <w:rsid w:val="006A7E7D"/>
    <w:rsid w:val="006C53E8"/>
    <w:rsid w:val="007061EA"/>
    <w:rsid w:val="00791FAA"/>
    <w:rsid w:val="00842006"/>
    <w:rsid w:val="00A24012"/>
    <w:rsid w:val="00A84A06"/>
    <w:rsid w:val="00B83123"/>
    <w:rsid w:val="00BC3CC0"/>
    <w:rsid w:val="00E258B9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FD82-9073-4115-8396-6FE9A861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123"/>
  </w:style>
  <w:style w:type="paragraph" w:styleId="Zpat">
    <w:name w:val="footer"/>
    <w:basedOn w:val="Normln"/>
    <w:link w:val="ZpatChar"/>
    <w:uiPriority w:val="99"/>
    <w:unhideWhenUsed/>
    <w:rsid w:val="00B8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123"/>
  </w:style>
  <w:style w:type="character" w:styleId="Hypertextovodkaz">
    <w:name w:val="Hyperlink"/>
    <w:basedOn w:val="Standardnpsmoodstavce"/>
    <w:uiPriority w:val="99"/>
    <w:unhideWhenUsed/>
    <w:rsid w:val="00B8312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8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123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70vyzvair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ceskysever.cz/wp-content/uploads/2023/09/interni-postupy_mas-cesky-sever_op-tak_irop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op.gov.cz/cs/vyzvy-2021-2027/vyzvy/70vyzvair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Kracmanová</dc:creator>
  <cp:keywords/>
  <dc:description/>
  <cp:lastModifiedBy>Hana Kracmanová</cp:lastModifiedBy>
  <cp:revision>3</cp:revision>
  <dcterms:created xsi:type="dcterms:W3CDTF">2023-12-12T09:39:00Z</dcterms:created>
  <dcterms:modified xsi:type="dcterms:W3CDTF">2023-12-15T10:18:00Z</dcterms:modified>
</cp:coreProperties>
</file>